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2" w:rsidRDefault="000E54F2" w:rsidP="000E54F2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0E54F2" w:rsidRDefault="000E54F2" w:rsidP="000E54F2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 итогах голосования на общем внеочередном собрании акционеров</w:t>
      </w:r>
    </w:p>
    <w:p w:rsidR="000E54F2" w:rsidRDefault="000516EF" w:rsidP="000E54F2">
      <w:pPr>
        <w:spacing w:before="120" w:after="240"/>
        <w:jc w:val="center"/>
        <w:rPr>
          <w:b/>
          <w:bCs/>
        </w:rPr>
      </w:pPr>
      <w:r>
        <w:rPr>
          <w:b/>
          <w:bCs/>
        </w:rPr>
        <w:t>А</w:t>
      </w:r>
      <w:r w:rsidR="000E54F2">
        <w:rPr>
          <w:b/>
          <w:bCs/>
        </w:rPr>
        <w:t>кционерного общества «Бенат», состоявшемся 25.03.2016г.</w:t>
      </w:r>
    </w:p>
    <w:p w:rsidR="00A10D16" w:rsidRDefault="00A10D16" w:rsidP="00A10D16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A10D16" w:rsidRDefault="00A10D16" w:rsidP="00A10D16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Акционерное общество "Бенат".</w:t>
      </w:r>
    </w:p>
    <w:p w:rsidR="00A10D16" w:rsidRDefault="00A10D16" w:rsidP="00A10D16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город Тюмень.</w:t>
      </w:r>
    </w:p>
    <w:p w:rsidR="00A10D16" w:rsidRDefault="00A10D16" w:rsidP="00A10D16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г. Тюмень, ул. Мельзаводская, 18.</w:t>
      </w:r>
    </w:p>
    <w:p w:rsidR="00A10D16" w:rsidRDefault="00A10D16" w:rsidP="00A10D16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Внеочередное.</w:t>
      </w:r>
    </w:p>
    <w:p w:rsidR="00A10D16" w:rsidRDefault="00A10D16" w:rsidP="00A10D16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Собрание.</w:t>
      </w:r>
    </w:p>
    <w:p w:rsidR="00A10D16" w:rsidRDefault="00A10D16" w:rsidP="00A10D16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25 марта 2016 г.</w:t>
      </w:r>
    </w:p>
    <w:p w:rsidR="00A10D16" w:rsidRDefault="00A10D16" w:rsidP="00A10D16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A10D16" w:rsidRDefault="00A10D16" w:rsidP="00A10D16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16 марта 2016 г.</w:t>
      </w:r>
    </w:p>
    <w:p w:rsidR="00A10D16" w:rsidRDefault="00A10D16" w:rsidP="00A10D16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A10D16" w:rsidRDefault="00A10D16" w:rsidP="00A10D1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 одобрении крупной сделки -      Договора кредитной линии № 0092-ЛВ/16-0004 от 04.03.2016г. заключенного  между ПАО «Ханты-Мансийский банк Открытие»  и АО «Бенат».</w:t>
      </w:r>
    </w:p>
    <w:p w:rsidR="000E54F2" w:rsidRDefault="000E54F2" w:rsidP="00A10D1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0E54F2" w:rsidRDefault="000E54F2" w:rsidP="00C7540C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0E54F2" w:rsidRPr="000E54F2" w:rsidRDefault="000E54F2" w:rsidP="000E54F2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1.       </w:t>
      </w:r>
      <w:r w:rsidRPr="000E54F2">
        <w:rPr>
          <w:sz w:val="20"/>
          <w:szCs w:val="20"/>
        </w:rPr>
        <w:t>По  вопросу повестки  дня -77</w:t>
      </w:r>
      <w:r w:rsidRPr="000E54F2">
        <w:rPr>
          <w:sz w:val="20"/>
          <w:szCs w:val="20"/>
          <w:lang w:val="en-US"/>
        </w:rPr>
        <w:t> </w:t>
      </w:r>
      <w:r w:rsidRPr="000E54F2">
        <w:rPr>
          <w:sz w:val="20"/>
          <w:szCs w:val="20"/>
        </w:rPr>
        <w:t>343голосов</w:t>
      </w:r>
    </w:p>
    <w:p w:rsidR="000E54F2" w:rsidRDefault="000E54F2" w:rsidP="00C7540C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0E54F2" w:rsidRDefault="000E54F2" w:rsidP="000E54F2">
      <w:pPr>
        <w:keepNext/>
        <w:spacing w:before="40" w:after="40"/>
        <w:jc w:val="both"/>
        <w:rPr>
          <w:sz w:val="20"/>
          <w:szCs w:val="20"/>
        </w:rPr>
      </w:pPr>
      <w:r>
        <w:rPr>
          <w:sz w:val="20"/>
          <w:szCs w:val="20"/>
        </w:rPr>
        <w:t>1.       По  вопросу повестки  дня -</w:t>
      </w:r>
      <w:r>
        <w:rPr>
          <w:b/>
          <w:bCs/>
          <w:sz w:val="20"/>
          <w:szCs w:val="20"/>
        </w:rPr>
        <w:t xml:space="preserve"> </w:t>
      </w:r>
      <w:r w:rsidRPr="000E54F2">
        <w:rPr>
          <w:b/>
          <w:bCs/>
          <w:sz w:val="20"/>
          <w:szCs w:val="20"/>
        </w:rPr>
        <w:t>77,20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0E54F2" w:rsidRDefault="000E54F2" w:rsidP="00C7540C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отданных за каждый из вариантов голосования («за», «против», «воздержался»</w:t>
      </w:r>
      <w:proofErr w:type="gramStart"/>
      <w:r>
        <w:rPr>
          <w:b/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по каждому вопросу повестки дня общего собрания, по которому имелся кворум:</w:t>
      </w:r>
    </w:p>
    <w:p w:rsidR="000E54F2" w:rsidRPr="000E54F2" w:rsidRDefault="000E54F2" w:rsidP="000E54F2">
      <w:pPr>
        <w:pStyle w:val="aa"/>
        <w:keepNext/>
        <w:numPr>
          <w:ilvl w:val="0"/>
          <w:numId w:val="7"/>
        </w:numPr>
        <w:spacing w:before="40" w:after="40"/>
        <w:rPr>
          <w:sz w:val="20"/>
          <w:szCs w:val="20"/>
        </w:rPr>
      </w:pPr>
      <w:r w:rsidRPr="000E54F2">
        <w:rPr>
          <w:sz w:val="20"/>
          <w:szCs w:val="20"/>
        </w:rPr>
        <w:t>По  вопросу повестки  дня: «за» - 77</w:t>
      </w:r>
      <w:r w:rsidRPr="000E54F2">
        <w:rPr>
          <w:sz w:val="20"/>
          <w:szCs w:val="20"/>
          <w:lang w:val="en-US"/>
        </w:rPr>
        <w:t> </w:t>
      </w:r>
      <w:r w:rsidRPr="000E54F2">
        <w:rPr>
          <w:sz w:val="20"/>
          <w:szCs w:val="20"/>
        </w:rPr>
        <w:t>343, «против» - 0%,«воздержался» - 0 %.</w:t>
      </w:r>
    </w:p>
    <w:p w:rsidR="000E54F2" w:rsidRPr="000E54F2" w:rsidRDefault="000E54F2" w:rsidP="000E54F2">
      <w:pPr>
        <w:pStyle w:val="aa"/>
        <w:keepNext/>
        <w:spacing w:before="40" w:after="40"/>
        <w:ind w:left="915"/>
        <w:rPr>
          <w:sz w:val="20"/>
          <w:szCs w:val="20"/>
        </w:rPr>
      </w:pPr>
    </w:p>
    <w:p w:rsidR="000E54F2" w:rsidRDefault="00D90DF7" w:rsidP="000E54F2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Формулировка решения, принятого</w:t>
      </w:r>
      <w:bookmarkStart w:id="0" w:name="_GoBack"/>
      <w:bookmarkEnd w:id="0"/>
      <w:r w:rsidR="000E54F2">
        <w:rPr>
          <w:b/>
          <w:sz w:val="20"/>
          <w:szCs w:val="20"/>
        </w:rPr>
        <w:t xml:space="preserve"> общим собранием акционеров:</w:t>
      </w:r>
    </w:p>
    <w:p w:rsidR="000E54F2" w:rsidRDefault="000E54F2" w:rsidP="000E54F2">
      <w:pPr>
        <w:jc w:val="both"/>
        <w:rPr>
          <w:sz w:val="20"/>
          <w:szCs w:val="20"/>
        </w:rPr>
      </w:pPr>
      <w:r>
        <w:rPr>
          <w:sz w:val="20"/>
          <w:szCs w:val="20"/>
        </w:rPr>
        <w:t>Одобрить крупную сделку - Договор кредитной линии № 0092-ЛВ/16-0004 от 04.03.2016г. заключенный между ПАО «Ханты-Мансийский банк Открытие»  и АО «Бенат»».</w:t>
      </w:r>
      <w:r>
        <w:rPr>
          <w:sz w:val="20"/>
          <w:szCs w:val="20"/>
        </w:rPr>
        <w:br/>
        <w:t>Договор кредитной линии № 0092-ЛВ/16-0004 от 04.03.2016г. содержит следующие  основные условия:</w:t>
      </w:r>
      <w:r>
        <w:rPr>
          <w:sz w:val="20"/>
          <w:szCs w:val="20"/>
        </w:rPr>
        <w:br/>
        <w:t xml:space="preserve">           - стороны по сделке: АО «Бенат» (Заемщик) и ПАО «Ханты-Мансийский банк Открытие» (Банк);</w:t>
      </w:r>
      <w:r>
        <w:rPr>
          <w:sz w:val="20"/>
          <w:szCs w:val="20"/>
        </w:rPr>
        <w:br/>
        <w:t xml:space="preserve">           - вид кредитного продукта: кредитная линия с лимитом выдачи;</w:t>
      </w:r>
      <w:r>
        <w:rPr>
          <w:sz w:val="20"/>
          <w:szCs w:val="20"/>
        </w:rPr>
        <w:br/>
        <w:t xml:space="preserve">           - сумма лимита выдачи: 15 000 000,00 (Пятнадцать миллионов) рублей 00 копеек;</w:t>
      </w:r>
      <w:r>
        <w:rPr>
          <w:sz w:val="20"/>
          <w:szCs w:val="20"/>
        </w:rPr>
        <w:br/>
        <w:t>- кредитная линия имеет целевое назначение и предоставляется на пополнение оборотных средств;</w:t>
      </w:r>
      <w:r>
        <w:rPr>
          <w:sz w:val="20"/>
          <w:szCs w:val="20"/>
        </w:rPr>
        <w:br/>
        <w:t xml:space="preserve">- кредитная линия предоставляется на срок по «30» марта 2016 года включительно; </w:t>
      </w:r>
      <w:r>
        <w:rPr>
          <w:sz w:val="20"/>
          <w:szCs w:val="20"/>
        </w:rPr>
        <w:br/>
        <w:t>- пролонгация срока возврата кредитной линии не предусмотрена;</w:t>
      </w:r>
      <w:r>
        <w:rPr>
          <w:sz w:val="20"/>
          <w:szCs w:val="20"/>
        </w:rPr>
        <w:br/>
        <w:t>- за пользование кредитной линией Заемщик выплачивает Банку проценты на сумму предоставленных в рамках кредитной линии кредитов (траншей) в размере фактического остатка текущей (непросроченной) ссудной задолженности из расчета 16,5 (Шестнадцать целых пять десятых) процентов годовых;</w:t>
      </w:r>
      <w:r>
        <w:rPr>
          <w:sz w:val="20"/>
          <w:szCs w:val="20"/>
        </w:rPr>
        <w:br/>
        <w:t xml:space="preserve">- </w:t>
      </w:r>
      <w:proofErr w:type="gramStart"/>
      <w:r>
        <w:rPr>
          <w:sz w:val="20"/>
          <w:szCs w:val="20"/>
        </w:rPr>
        <w:t>при нарушении срока возврата суммы кредитной линии (части суммы кредитной линии) Банк имеет право взыскать с Заемщика штрафную неустойку за каждый день просрочки в размере 0,1 (ноль целых одна десятая) процента от невозвращенной или возвращенной с просрочкой суммы кредитной линии (части суммы кредитной линии) за весь период просрочки со дня, следующего за днем окончания срока возврата кредитной линии (части суммы</w:t>
      </w:r>
      <w:proofErr w:type="gramEnd"/>
      <w:r>
        <w:rPr>
          <w:sz w:val="20"/>
          <w:szCs w:val="20"/>
        </w:rPr>
        <w:t xml:space="preserve"> кредитной линии), по день фактического возврата суммы кредитной линии (части суммы кредитной линии);</w:t>
      </w:r>
      <w:r>
        <w:rPr>
          <w:sz w:val="20"/>
          <w:szCs w:val="20"/>
        </w:rPr>
        <w:br/>
        <w:t xml:space="preserve">- </w:t>
      </w:r>
      <w:proofErr w:type="gramStart"/>
      <w:r>
        <w:rPr>
          <w:sz w:val="20"/>
          <w:szCs w:val="20"/>
        </w:rPr>
        <w:t>при нарушении сроков уплаты начисленных процентов за пользование суммой кредитной линии Банк вправе взыскать с Заемщика за каждый день просрочки штрафную неустойку в размере 0,1 (ноль целых одна десятая) процента от суммы неуплаченных и/или уплаченных с просрочкой процентов за весь период со дня, следующего за днем окончания срока уплаты процентов по день фактической уплаты.</w:t>
      </w:r>
      <w:r>
        <w:rPr>
          <w:sz w:val="20"/>
          <w:szCs w:val="20"/>
        </w:rPr>
        <w:br/>
      </w:r>
      <w:proofErr w:type="gramEnd"/>
    </w:p>
    <w:p w:rsidR="000E54F2" w:rsidRDefault="000E54F2" w:rsidP="000E54F2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Полное фирменное наименование </w:t>
      </w:r>
    </w:p>
    <w:p w:rsidR="000E54F2" w:rsidRDefault="000E54F2" w:rsidP="000E54F2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регистратора, выполнявшего функции</w:t>
      </w:r>
    </w:p>
    <w:p w:rsidR="000E54F2" w:rsidRDefault="000E54F2" w:rsidP="000E54F2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счетной комиссии: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Акционерное общество "Новый регистратор".</w:t>
      </w:r>
    </w:p>
    <w:p w:rsidR="000E54F2" w:rsidRDefault="000E54F2" w:rsidP="000E54F2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Российская Федерация, г. Москва.</w:t>
      </w:r>
    </w:p>
    <w:p w:rsidR="000E54F2" w:rsidRDefault="000E54F2" w:rsidP="000E54F2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Уполномоченные лица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Токмянина Вера Львовна.</w:t>
      </w:r>
    </w:p>
    <w:p w:rsidR="00A10D16" w:rsidRDefault="00A10D16" w:rsidP="00A10D16">
      <w:pPr>
        <w:rPr>
          <w:sz w:val="16"/>
          <w:szCs w:val="16"/>
        </w:rPr>
      </w:pPr>
    </w:p>
    <w:p w:rsidR="000E54F2" w:rsidRDefault="000E54F2" w:rsidP="000E54F2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Председатель собрания                                                                                                                  А.И.Гаркуша</w:t>
      </w:r>
    </w:p>
    <w:p w:rsidR="000E54F2" w:rsidRDefault="000E54F2" w:rsidP="000E54F2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E54F2" w:rsidRDefault="000E54F2" w:rsidP="000E54F2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E54F2" w:rsidRDefault="000E54F2" w:rsidP="000E54F2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Секретарь собрания                                        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О.Ю.Кондрашова</w:t>
      </w:r>
      <w:proofErr w:type="spellEnd"/>
    </w:p>
    <w:p w:rsidR="000E54F2" w:rsidRDefault="000E54F2" w:rsidP="000E54F2">
      <w:pPr>
        <w:rPr>
          <w:sz w:val="16"/>
          <w:szCs w:val="16"/>
        </w:rPr>
      </w:pPr>
    </w:p>
    <w:p w:rsidR="000E54F2" w:rsidRDefault="000E54F2" w:rsidP="000E54F2">
      <w:pPr>
        <w:rPr>
          <w:sz w:val="16"/>
          <w:szCs w:val="16"/>
        </w:rPr>
      </w:pPr>
    </w:p>
    <w:p w:rsidR="000E54F2" w:rsidRDefault="000E54F2" w:rsidP="000E54F2"/>
    <w:p w:rsidR="00B1035B" w:rsidRDefault="00B1035B"/>
    <w:sectPr w:rsidR="00B1035B" w:rsidSect="000E54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A52"/>
    <w:multiLevelType w:val="hybridMultilevel"/>
    <w:tmpl w:val="3438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0A3E"/>
    <w:multiLevelType w:val="hybridMultilevel"/>
    <w:tmpl w:val="7CC8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F40"/>
    <w:multiLevelType w:val="hybridMultilevel"/>
    <w:tmpl w:val="EB20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975"/>
    <w:multiLevelType w:val="hybridMultilevel"/>
    <w:tmpl w:val="F6F0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58F8"/>
    <w:multiLevelType w:val="hybridMultilevel"/>
    <w:tmpl w:val="A77E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0BC"/>
    <w:multiLevelType w:val="hybridMultilevel"/>
    <w:tmpl w:val="0618382C"/>
    <w:lvl w:ilvl="0" w:tplc="07D025E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06622"/>
    <w:multiLevelType w:val="hybridMultilevel"/>
    <w:tmpl w:val="76AA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C4"/>
    <w:rsid w:val="000516EF"/>
    <w:rsid w:val="00087DC4"/>
    <w:rsid w:val="000E54F2"/>
    <w:rsid w:val="00402A1E"/>
    <w:rsid w:val="0069604F"/>
    <w:rsid w:val="007E7474"/>
    <w:rsid w:val="00994192"/>
    <w:rsid w:val="00A10D16"/>
    <w:rsid w:val="00B1035B"/>
    <w:rsid w:val="00D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A10D16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A10D16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3375</Characters>
  <Application>Microsoft Office Word</Application>
  <DocSecurity>0</DocSecurity>
  <Lines>28</Lines>
  <Paragraphs>7</Paragraphs>
  <ScaleCrop>false</ScaleCrop>
  <Company>DNS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5</cp:revision>
  <dcterms:created xsi:type="dcterms:W3CDTF">2017-03-27T09:10:00Z</dcterms:created>
  <dcterms:modified xsi:type="dcterms:W3CDTF">2017-03-30T03:42:00Z</dcterms:modified>
</cp:coreProperties>
</file>